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8CE7" w14:textId="22BD3C19" w:rsidR="008C64C7" w:rsidRPr="008C64C7" w:rsidRDefault="008C64C7" w:rsidP="008C64C7">
      <w:pPr>
        <w:spacing w:after="120" w:line="240" w:lineRule="auto"/>
        <w:rPr>
          <w:b/>
          <w:sz w:val="36"/>
          <w:szCs w:val="36"/>
        </w:rPr>
      </w:pPr>
      <w:r w:rsidRPr="008C64C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11D0E0" wp14:editId="5526A9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1209675"/>
            <wp:effectExtent l="0" t="0" r="0" b="952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acle Logo_Gree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9" t="32031" r="16406" b="34895"/>
                    <a:stretch/>
                  </pic:blipFill>
                  <pic:spPr bwMode="auto">
                    <a:xfrm>
                      <a:off x="0" y="0"/>
                      <a:ext cx="24003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4C7">
        <w:rPr>
          <w:b/>
          <w:sz w:val="36"/>
          <w:szCs w:val="36"/>
        </w:rPr>
        <w:t>COMMUNITY OUTREACH COORDINATOR</w:t>
      </w:r>
    </w:p>
    <w:p w14:paraId="7A576ED9" w14:textId="4855E84A" w:rsidR="008C64C7" w:rsidRPr="008C64C7" w:rsidRDefault="008C64C7" w:rsidP="008C64C7">
      <w:pPr>
        <w:spacing w:after="120" w:line="240" w:lineRule="auto"/>
        <w:rPr>
          <w:b/>
          <w:sz w:val="24"/>
          <w:szCs w:val="24"/>
        </w:rPr>
      </w:pPr>
      <w:r w:rsidRPr="008C64C7">
        <w:rPr>
          <w:b/>
          <w:sz w:val="24"/>
          <w:szCs w:val="24"/>
        </w:rPr>
        <w:t>Background</w:t>
      </w:r>
    </w:p>
    <w:p w14:paraId="5D60E1AD" w14:textId="112794E1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i/>
          <w:sz w:val="24"/>
          <w:szCs w:val="24"/>
        </w:rPr>
        <w:t>Pentacle 2019 Season: Reaching Out to the LGBTQ Community</w:t>
      </w:r>
      <w:r w:rsidRPr="008C64C7">
        <w:rPr>
          <w:sz w:val="24"/>
          <w:szCs w:val="24"/>
        </w:rPr>
        <w:t xml:space="preserve"> is the first time that Pentacle is intentionally reaching out to the LGBTQ community in the Mid-Willamette Valley. That there has been a sizeable LGBTQ community at Pentacle Theatre already should come as no surprise. However, there has never been a concerted effort to specifically reach out to this community and encourage them to attend productions at the theater. The 2019 Pentacle Theatre season provides an excellent opportunity for such outreach. </w:t>
      </w:r>
    </w:p>
    <w:p w14:paraId="68BE7F44" w14:textId="188549D1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sz w:val="24"/>
          <w:szCs w:val="24"/>
        </w:rPr>
        <w:t>Three of the eight 2019 Pentacle Theatre productions deal specifically with LGBTQ issues. Below are descriptions of the</w:t>
      </w:r>
      <w:r w:rsidRPr="008C64C7">
        <w:rPr>
          <w:sz w:val="24"/>
          <w:szCs w:val="24"/>
        </w:rPr>
        <w:t xml:space="preserve"> two </w:t>
      </w:r>
      <w:r w:rsidRPr="008C64C7">
        <w:rPr>
          <w:sz w:val="24"/>
          <w:szCs w:val="24"/>
        </w:rPr>
        <w:t>plays</w:t>
      </w:r>
      <w:r>
        <w:rPr>
          <w:sz w:val="24"/>
          <w:szCs w:val="24"/>
        </w:rPr>
        <w:t xml:space="preserve"> addressing those issues</w:t>
      </w:r>
      <w:r w:rsidRPr="008C64C7">
        <w:rPr>
          <w:sz w:val="24"/>
          <w:szCs w:val="24"/>
        </w:rPr>
        <w:t xml:space="preserve"> that will come into production later this year</w:t>
      </w:r>
      <w:r w:rsidRPr="008C64C7">
        <w:rPr>
          <w:sz w:val="24"/>
          <w:szCs w:val="24"/>
        </w:rPr>
        <w:t>:</w:t>
      </w:r>
    </w:p>
    <w:p w14:paraId="11CDBE5C" w14:textId="77777777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b/>
          <w:i/>
          <w:sz w:val="24"/>
          <w:szCs w:val="24"/>
        </w:rPr>
        <w:t>Jest a Second:</w:t>
      </w:r>
      <w:r w:rsidRPr="008C64C7">
        <w:rPr>
          <w:sz w:val="24"/>
          <w:szCs w:val="24"/>
        </w:rPr>
        <w:t xml:space="preserve"> Sarah and Bob, expecting their first child, are hosting a birthday party for Sarah’s mother. Sarah’s brother, </w:t>
      </w:r>
      <w:r w:rsidRPr="008C64C7">
        <w:rPr>
          <w:b/>
          <w:sz w:val="24"/>
          <w:szCs w:val="24"/>
        </w:rPr>
        <w:t>Joel, arrives early to tell Sarah some news he’s put off telling anybody: He’s gay and has picked this evening to come out to his family</w:t>
      </w:r>
      <w:r w:rsidRPr="008C64C7">
        <w:rPr>
          <w:sz w:val="24"/>
          <w:szCs w:val="24"/>
        </w:rPr>
        <w:t>. Realizing that no one is quite ready for Joel’s big reveal, Bob decides some deception is in order. The complications pile up in hilarious layer and build to a heartwarming conclusion.</w:t>
      </w:r>
    </w:p>
    <w:p w14:paraId="066507F1" w14:textId="77777777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b/>
          <w:i/>
          <w:sz w:val="24"/>
          <w:szCs w:val="24"/>
        </w:rPr>
        <w:t>Mother and Sons:</w:t>
      </w:r>
      <w:r w:rsidRPr="008C64C7">
        <w:rPr>
          <w:sz w:val="24"/>
          <w:szCs w:val="24"/>
        </w:rPr>
        <w:t xml:space="preserve"> At turns both funny and powerful, Mothers and Sons portrays </w:t>
      </w:r>
      <w:r w:rsidRPr="008C64C7">
        <w:rPr>
          <w:b/>
          <w:sz w:val="24"/>
          <w:szCs w:val="24"/>
        </w:rPr>
        <w:t>a woman who pays an unexpected visit to the New York apartment of her late son’s partner, who is now married to another man and has a young son</w:t>
      </w:r>
      <w:r w:rsidRPr="008C64C7">
        <w:rPr>
          <w:sz w:val="24"/>
          <w:szCs w:val="24"/>
        </w:rPr>
        <w:t>. Challenged to face how society has changed around her, she revisits the past, sees generations collide and begins to see the life her son could have led.</w:t>
      </w:r>
    </w:p>
    <w:p w14:paraId="6CEE6863" w14:textId="77777777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</w:p>
    <w:p w14:paraId="48D5806B" w14:textId="77777777" w:rsidR="008C64C7" w:rsidRPr="008C64C7" w:rsidRDefault="008C64C7" w:rsidP="008C64C7">
      <w:pPr>
        <w:spacing w:after="120" w:line="240" w:lineRule="auto"/>
        <w:rPr>
          <w:b/>
          <w:sz w:val="24"/>
          <w:szCs w:val="24"/>
        </w:rPr>
      </w:pPr>
      <w:r w:rsidRPr="008C64C7">
        <w:rPr>
          <w:b/>
          <w:sz w:val="24"/>
          <w:szCs w:val="24"/>
        </w:rPr>
        <w:t>Duties</w:t>
      </w:r>
    </w:p>
    <w:p w14:paraId="58CC9011" w14:textId="0638B71D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sz w:val="24"/>
          <w:szCs w:val="24"/>
        </w:rPr>
        <w:t xml:space="preserve">Working with the Marketing Committee, the </w:t>
      </w:r>
      <w:r w:rsidRPr="008C64C7">
        <w:rPr>
          <w:sz w:val="24"/>
          <w:szCs w:val="24"/>
        </w:rPr>
        <w:t>Community Outreach Coordinator</w:t>
      </w:r>
      <w:r w:rsidRPr="008C64C7">
        <w:rPr>
          <w:sz w:val="24"/>
          <w:szCs w:val="24"/>
        </w:rPr>
        <w:t xml:space="preserve"> shall:</w:t>
      </w:r>
    </w:p>
    <w:p w14:paraId="06223DC3" w14:textId="77777777" w:rsidR="008C64C7" w:rsidRPr="008C64C7" w:rsidRDefault="008C64C7" w:rsidP="008C64C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64C7">
        <w:rPr>
          <w:sz w:val="24"/>
          <w:szCs w:val="24"/>
        </w:rPr>
        <w:t>Attend Marketing Committee meetings and lend his/her</w:t>
      </w:r>
      <w:r w:rsidRPr="008C64C7">
        <w:rPr>
          <w:sz w:val="24"/>
          <w:szCs w:val="24"/>
        </w:rPr>
        <w:t>/their</w:t>
      </w:r>
      <w:r w:rsidRPr="008C64C7">
        <w:rPr>
          <w:sz w:val="24"/>
          <w:szCs w:val="24"/>
        </w:rPr>
        <w:t xml:space="preserve"> expertise.</w:t>
      </w:r>
    </w:p>
    <w:p w14:paraId="51E9175C" w14:textId="53460D29" w:rsidR="008C64C7" w:rsidRPr="008C64C7" w:rsidRDefault="008C64C7" w:rsidP="008C64C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64C7">
        <w:rPr>
          <w:sz w:val="24"/>
          <w:szCs w:val="24"/>
        </w:rPr>
        <w:t>M</w:t>
      </w:r>
      <w:r w:rsidRPr="008C64C7">
        <w:rPr>
          <w:sz w:val="24"/>
          <w:szCs w:val="24"/>
        </w:rPr>
        <w:t xml:space="preserve">eet and connect with the LGBTQ community of the Mid-Willamette Valley, expressly to inform them about Pentacle Theatre and the productions that might be of specific interest to the LGBTQ community. </w:t>
      </w:r>
    </w:p>
    <w:p w14:paraId="5373F3D6" w14:textId="77777777" w:rsidR="008C64C7" w:rsidRPr="008C64C7" w:rsidRDefault="008C64C7" w:rsidP="008C64C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64C7">
        <w:rPr>
          <w:sz w:val="24"/>
          <w:szCs w:val="24"/>
        </w:rPr>
        <w:t>Make</w:t>
      </w:r>
      <w:r w:rsidRPr="008C64C7">
        <w:rPr>
          <w:sz w:val="24"/>
          <w:szCs w:val="24"/>
        </w:rPr>
        <w:t xml:space="preserve"> recommendations to the Marketing Committee about additional marketing, “ticket specials” and/or “</w:t>
      </w:r>
      <w:proofErr w:type="gramStart"/>
      <w:r w:rsidRPr="008C64C7">
        <w:rPr>
          <w:sz w:val="24"/>
          <w:szCs w:val="24"/>
        </w:rPr>
        <w:t>special events</w:t>
      </w:r>
      <w:proofErr w:type="gramEnd"/>
      <w:r w:rsidRPr="008C64C7">
        <w:rPr>
          <w:sz w:val="24"/>
          <w:szCs w:val="24"/>
        </w:rPr>
        <w:t>” that will increase attendance and sales to “Yellow” (a drama); “Jest a Second” (a comedy); and “Mothers and Sons” (a drama).</w:t>
      </w:r>
    </w:p>
    <w:p w14:paraId="0F44CCBB" w14:textId="41AC5B25" w:rsidR="008C64C7" w:rsidRDefault="008C64C7" w:rsidP="008C64C7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C64C7">
        <w:rPr>
          <w:sz w:val="24"/>
          <w:szCs w:val="24"/>
        </w:rPr>
        <w:t>K</w:t>
      </w:r>
      <w:r w:rsidRPr="008C64C7">
        <w:rPr>
          <w:sz w:val="24"/>
          <w:szCs w:val="24"/>
        </w:rPr>
        <w:t>eep meticulous records of meetings and phone calls made. He/she</w:t>
      </w:r>
      <w:r w:rsidRPr="008C64C7">
        <w:rPr>
          <w:sz w:val="24"/>
          <w:szCs w:val="24"/>
        </w:rPr>
        <w:t>/they</w:t>
      </w:r>
      <w:r w:rsidRPr="008C64C7">
        <w:rPr>
          <w:sz w:val="24"/>
          <w:szCs w:val="24"/>
        </w:rPr>
        <w:t xml:space="preserve"> will make recommendations about ways that Pentacle can continue to develop and maintain LGBTQ partnerships </w:t>
      </w:r>
      <w:r w:rsidRPr="008C64C7">
        <w:rPr>
          <w:sz w:val="24"/>
          <w:szCs w:val="24"/>
        </w:rPr>
        <w:t>into the future</w:t>
      </w:r>
    </w:p>
    <w:p w14:paraId="0C315EDB" w14:textId="77777777" w:rsidR="008C64C7" w:rsidRPr="008C64C7" w:rsidRDefault="008C64C7" w:rsidP="008C64C7">
      <w:pPr>
        <w:pStyle w:val="ListParagraph"/>
        <w:spacing w:after="120" w:line="240" w:lineRule="auto"/>
        <w:rPr>
          <w:sz w:val="24"/>
          <w:szCs w:val="24"/>
        </w:rPr>
      </w:pPr>
    </w:p>
    <w:p w14:paraId="5D6ED0B0" w14:textId="77777777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b/>
          <w:sz w:val="24"/>
          <w:szCs w:val="24"/>
        </w:rPr>
        <w:t>Contract manager:</w:t>
      </w:r>
      <w:r w:rsidRPr="008C64C7">
        <w:rPr>
          <w:sz w:val="24"/>
          <w:szCs w:val="24"/>
        </w:rPr>
        <w:t xml:space="preserve"> Executive Director</w:t>
      </w:r>
    </w:p>
    <w:p w14:paraId="7F48D6F6" w14:textId="21A44761" w:rsidR="008C64C7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b/>
          <w:sz w:val="24"/>
          <w:szCs w:val="24"/>
        </w:rPr>
        <w:t>Length of Contract:</w:t>
      </w:r>
      <w:r w:rsidRPr="008C64C7">
        <w:rPr>
          <w:sz w:val="24"/>
          <w:szCs w:val="24"/>
        </w:rPr>
        <w:t xml:space="preserve"> </w:t>
      </w:r>
      <w:r w:rsidRPr="008C64C7">
        <w:rPr>
          <w:sz w:val="24"/>
          <w:szCs w:val="24"/>
        </w:rPr>
        <w:t>Through November</w:t>
      </w:r>
      <w:r w:rsidRPr="008C64C7">
        <w:rPr>
          <w:sz w:val="24"/>
          <w:szCs w:val="24"/>
        </w:rPr>
        <w:t>.</w:t>
      </w:r>
    </w:p>
    <w:p w14:paraId="286B9235" w14:textId="4C6D9557" w:rsid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b/>
          <w:sz w:val="24"/>
          <w:szCs w:val="24"/>
        </w:rPr>
        <w:t>Compensation:</w:t>
      </w:r>
      <w:r w:rsidRPr="008C64C7">
        <w:rPr>
          <w:sz w:val="24"/>
          <w:szCs w:val="24"/>
        </w:rPr>
        <w:t xml:space="preserve"> $</w:t>
      </w:r>
      <w:r w:rsidRPr="008C64C7">
        <w:rPr>
          <w:sz w:val="24"/>
          <w:szCs w:val="24"/>
        </w:rPr>
        <w:t>25</w:t>
      </w:r>
      <w:r w:rsidRPr="008C64C7">
        <w:rPr>
          <w:sz w:val="24"/>
          <w:szCs w:val="24"/>
        </w:rPr>
        <w:t xml:space="preserve">/hour </w:t>
      </w:r>
      <w:r w:rsidRPr="008C64C7">
        <w:rPr>
          <w:sz w:val="24"/>
          <w:szCs w:val="24"/>
        </w:rPr>
        <w:t>for</w:t>
      </w:r>
      <w:r w:rsidRPr="008C64C7">
        <w:rPr>
          <w:sz w:val="24"/>
          <w:szCs w:val="24"/>
        </w:rPr>
        <w:t xml:space="preserve"> approximately </w:t>
      </w:r>
      <w:r w:rsidRPr="008C64C7">
        <w:rPr>
          <w:sz w:val="24"/>
          <w:szCs w:val="24"/>
        </w:rPr>
        <w:t>40</w:t>
      </w:r>
      <w:r w:rsidRPr="008C64C7">
        <w:rPr>
          <w:sz w:val="24"/>
          <w:szCs w:val="24"/>
        </w:rPr>
        <w:t xml:space="preserve"> hours per show</w:t>
      </w:r>
      <w:r w:rsidRPr="008C64C7">
        <w:rPr>
          <w:sz w:val="24"/>
          <w:szCs w:val="24"/>
        </w:rPr>
        <w:t xml:space="preserve"> for the two shows remaining</w:t>
      </w:r>
      <w:r>
        <w:rPr>
          <w:sz w:val="24"/>
          <w:szCs w:val="24"/>
        </w:rPr>
        <w:t xml:space="preserve"> in the 2019 season</w:t>
      </w:r>
      <w:r w:rsidRPr="008C64C7">
        <w:rPr>
          <w:sz w:val="24"/>
          <w:szCs w:val="24"/>
        </w:rPr>
        <w:t xml:space="preserve">. </w:t>
      </w:r>
    </w:p>
    <w:p w14:paraId="6098AEA7" w14:textId="651DA918" w:rsidR="005D6345" w:rsidRPr="008C64C7" w:rsidRDefault="008C64C7" w:rsidP="008C64C7">
      <w:pPr>
        <w:spacing w:after="120" w:line="240" w:lineRule="auto"/>
        <w:rPr>
          <w:sz w:val="24"/>
          <w:szCs w:val="24"/>
        </w:rPr>
      </w:pPr>
      <w:r w:rsidRPr="008C64C7">
        <w:rPr>
          <w:b/>
          <w:sz w:val="32"/>
          <w:szCs w:val="32"/>
        </w:rPr>
        <w:t>For more information or to apply, email lisa@pentacletheatre.org.</w:t>
      </w:r>
      <w:bookmarkStart w:id="0" w:name="_GoBack"/>
      <w:bookmarkEnd w:id="0"/>
    </w:p>
    <w:sectPr w:rsidR="005D6345" w:rsidRPr="008C64C7" w:rsidSect="008C64C7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458"/>
    <w:multiLevelType w:val="hybridMultilevel"/>
    <w:tmpl w:val="0152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0087"/>
    <w:multiLevelType w:val="hybridMultilevel"/>
    <w:tmpl w:val="A1F00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C7"/>
    <w:rsid w:val="00395C23"/>
    <w:rsid w:val="005D6345"/>
    <w:rsid w:val="008117F5"/>
    <w:rsid w:val="008C64C7"/>
    <w:rsid w:val="00DB6F8C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0680"/>
  <w15:chartTrackingRefBased/>
  <w15:docId w15:val="{1A185053-CE56-4F1B-92D4-9EE8D9A7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1</cp:revision>
  <dcterms:created xsi:type="dcterms:W3CDTF">2019-05-01T19:22:00Z</dcterms:created>
  <dcterms:modified xsi:type="dcterms:W3CDTF">2019-05-01T19:37:00Z</dcterms:modified>
</cp:coreProperties>
</file>